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34" w:rsidRPr="00A47534" w:rsidRDefault="00A47534" w:rsidP="00A47534">
      <w:pPr>
        <w:shd w:val="clear" w:color="auto" w:fill="FFFFFF"/>
        <w:spacing w:after="120" w:line="312" w:lineRule="atLeast"/>
        <w:jc w:val="center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FELSZÓLALÁS</w:t>
      </w:r>
    </w:p>
    <w:p w:rsidR="00A47534" w:rsidRPr="00A47534" w:rsidRDefault="00A47534" w:rsidP="00A47534">
      <w:pPr>
        <w:shd w:val="clear" w:color="auto" w:fill="FFFFFF"/>
        <w:spacing w:after="120" w:line="312" w:lineRule="atLeast"/>
        <w:jc w:val="center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FÖLDRAJZI ÁRUJELZŐ</w:t>
      </w:r>
    </w:p>
    <w:p w:rsidR="00A47534" w:rsidRDefault="00A47534" w:rsidP="00913F83">
      <w:pPr>
        <w:shd w:val="clear" w:color="auto" w:fill="FFFFFF"/>
        <w:spacing w:after="240" w:line="312" w:lineRule="atLeast"/>
        <w:jc w:val="center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(Az (EU) 2024/1143 rendelet 17. cikke)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Felszólalás az alábbiakkal szemben:</w:t>
      </w:r>
    </w:p>
    <w:p w:rsidR="00A47534" w:rsidRPr="00A47534" w:rsidRDefault="00A47534" w:rsidP="00A4753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 </w:t>
      </w: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Bejegyzés iránti kérelem</w:t>
      </w:r>
    </w:p>
    <w:p w:rsidR="00A47534" w:rsidRPr="00A47534" w:rsidRDefault="00A47534" w:rsidP="00A4753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 </w:t>
      </w: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A termékleírás uniós módosításának jóváhagyása iránti kérelem</w:t>
      </w:r>
    </w:p>
    <w:p w:rsidR="00A47534" w:rsidRDefault="00A47534" w:rsidP="00A4753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 </w:t>
      </w: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Törlés iránti kérelem</w:t>
      </w:r>
    </w:p>
    <w:p w:rsidR="00A47534" w:rsidRDefault="00A47534" w:rsidP="00913F83">
      <w:pPr>
        <w:shd w:val="clear" w:color="auto" w:fill="FFFFFF"/>
        <w:spacing w:before="24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proofErr w:type="gramStart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</w:t>
      </w:r>
      <w:proofErr w:type="gramEnd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következőre vonatkozóan: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1.    A termék elnevezése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…</w:t>
      </w:r>
    </w:p>
    <w:p w:rsidR="00A47534" w:rsidRPr="00A47534" w:rsidRDefault="00A47534" w:rsidP="00072ED1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A Hivatalos Lapban (HL) közzétett vagy a bejegyzett formában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24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2.    A földrajzi árujelző típusa</w:t>
      </w:r>
    </w:p>
    <w:p w:rsidR="00A47534" w:rsidRDefault="00A47534" w:rsidP="00913F83">
      <w:pPr>
        <w:shd w:val="clear" w:color="auto" w:fill="FFFFFF"/>
        <w:spacing w:after="240" w:line="312" w:lineRule="atLeast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Times New Roman" w:hAnsi="Times New Roman" w:cs="Times New Roman"/>
          <w:lang w:eastAsia="hu-HU"/>
        </w:rPr>
        <w:t>[</w:t>
      </w:r>
      <w:r w:rsidRPr="00913F83">
        <w:rPr>
          <w:rFonts w:ascii="Times New Roman" w:eastAsia="Times New Roman" w:hAnsi="Times New Roman" w:cs="Times New Roman"/>
          <w:i/>
          <w:iCs/>
          <w:lang w:eastAsia="hu-HU"/>
        </w:rPr>
        <w:t>X-szel jelölje a megfelelőt:</w:t>
      </w:r>
      <w:r w:rsidRPr="00A47534">
        <w:rPr>
          <w:rFonts w:ascii="Times New Roman" w:eastAsia="Times New Roman" w:hAnsi="Times New Roman" w:cs="Times New Roman"/>
          <w:lang w:eastAsia="hu-H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47534">
        <w:rPr>
          <w:rFonts w:ascii="Times New Roman" w:eastAsia="Times New Roman" w:hAnsi="Times New Roman" w:cs="Times New Roman"/>
          <w:sz w:val="24"/>
          <w:szCs w:val="24"/>
          <w:lang w:eastAsia="hu-HU"/>
        </w:rPr>
        <w:t>OEM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ab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ab/>
      </w:r>
      <w:r w:rsidRPr="00A47534">
        <w:rPr>
          <w:rFonts w:ascii="Times New Roman" w:eastAsia="Times New Roman" w:hAnsi="Times New Roman" w:cs="Times New Roman"/>
          <w:sz w:val="24"/>
          <w:szCs w:val="24"/>
          <w:lang w:eastAsia="hu-HU"/>
        </w:rPr>
        <w:t>OFJ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ab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ab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ab/>
      </w:r>
      <w:r w:rsidRPr="00A47534">
        <w:rPr>
          <w:rFonts w:ascii="Times New Roman" w:eastAsia="Times New Roman" w:hAnsi="Times New Roman" w:cs="Times New Roman"/>
          <w:sz w:val="24"/>
          <w:szCs w:val="24"/>
          <w:lang w:eastAsia="hu-HU"/>
        </w:rPr>
        <w:t>FJ</w:t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3.    Ágazat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[</w:t>
      </w:r>
      <w:r w:rsidRPr="00A47534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hu-HU"/>
        </w:rPr>
        <w:t>X-szel jelölje a megfelelőt</w:t>
      </w: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 </w:t>
      </w:r>
      <w:proofErr w:type="gramStart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mezőgazdasági</w:t>
      </w:r>
      <w:proofErr w:type="gramEnd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termékek</w:t>
      </w:r>
    </w:p>
    <w:p w:rsidR="00A47534" w:rsidRPr="00A47534" w:rsidRDefault="00A47534" w:rsidP="00A4753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 </w:t>
      </w:r>
      <w:proofErr w:type="gramStart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borok</w:t>
      </w:r>
      <w:proofErr w:type="gramEnd"/>
    </w:p>
    <w:p w:rsidR="00A47534" w:rsidRDefault="00A47534" w:rsidP="00072ED1">
      <w:pPr>
        <w:shd w:val="clear" w:color="auto" w:fill="FFFFFF"/>
        <w:spacing w:after="24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 </w:t>
      </w:r>
      <w:proofErr w:type="gramStart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szeszes</w:t>
      </w:r>
      <w:proofErr w:type="gramEnd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italok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4.    A felszólalással megtámadott jogi aktus kihirdetésének hivatalos hivatkozása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A Hivatalos Lapban (HL) való közzététel alapján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Hivatkozási szám</w:t>
      </w:r>
      <w:proofErr w:type="gramStart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: ..</w:t>
      </w:r>
      <w:proofErr w:type="gramEnd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..</w:t>
      </w:r>
    </w:p>
    <w:p w:rsidR="00A47534" w:rsidRDefault="00A47534" w:rsidP="00072ED1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 </w:t>
      </w:r>
      <w:proofErr w:type="spellStart"/>
      <w:r w:rsidRPr="00A47534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hu-HU"/>
        </w:rPr>
        <w:t>HL</w:t>
      </w: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-ben</w:t>
      </w:r>
      <w:proofErr w:type="spellEnd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való közzététel időpontja</w:t>
      </w:r>
      <w:proofErr w:type="gramStart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: ..</w:t>
      </w:r>
      <w:proofErr w:type="gramEnd"/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..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5.    A felszólaló neve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…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Tagállam, harmadik ország, harmadik országban lakóhellyel rendelkező vagy ott letelepedett természetes vagy jogi személy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6.    A felszólaló kapcsolattartási adatai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hu-HU"/>
        </w:rPr>
        <w:t>Nemzeti hatóság vagy csoport/szervezet/magánszemély: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A kapcsolattartó személy neve: Megszólítás</w:t>
      </w:r>
      <w:proofErr w:type="gramStart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: ..</w:t>
      </w:r>
      <w:proofErr w:type="gramEnd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.. Teljes név</w:t>
      </w:r>
      <w:proofErr w:type="gramStart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: ..</w:t>
      </w:r>
      <w:proofErr w:type="gramEnd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.</w:t>
      </w: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Annak a szervezeti egységnek a neve, amelyhez a személy tartozik: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lastRenderedPageBreak/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Cím</w:t>
      </w:r>
      <w:proofErr w:type="gramStart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: …</w:t>
      </w:r>
      <w:proofErr w:type="gramEnd"/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Telefonszám: +.</w:t>
      </w:r>
      <w:proofErr w:type="gramStart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..</w:t>
      </w:r>
      <w:proofErr w:type="gramEnd"/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e-mail-cím</w:t>
      </w:r>
      <w:proofErr w:type="gramStart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: ..</w:t>
      </w:r>
      <w:proofErr w:type="gramEnd"/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.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7.    Jogos érdek (nemzeti hatóságok esetében nem szükséges).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…</w:t>
      </w:r>
    </w:p>
    <w:p w:rsidR="00A47534" w:rsidRPr="00A47534" w:rsidRDefault="00A47534" w:rsidP="00072ED1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913F83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Ismertesse a felszólaló jogos érdekét. A törlés iránti kérelemmel szembeni felszólalás esetén ismertesse, hogy az érdekelt személy továbbra is folyamatosan alkalmazza a kereskedelemben a bejegyzett elnevezést.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8.    A felszólalás indokai:</w:t>
      </w:r>
    </w:p>
    <w:p w:rsidR="00A47534" w:rsidRPr="00A47534" w:rsidRDefault="00A47534" w:rsidP="00072ED1">
      <w:pPr>
        <w:shd w:val="clear" w:color="auto" w:fill="FFFFFF"/>
        <w:spacing w:before="120" w:after="12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072ED1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Jelölje meg a vonatkozó indokot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proofErr w:type="gramStart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</w:t>
      </w:r>
      <w:proofErr w:type="gramEnd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) </w:t>
      </w:r>
      <w:proofErr w:type="spellStart"/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</w:t>
      </w:r>
      <w:proofErr w:type="spellEnd"/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javasolt földrajzi árujelző nem felel meg a mezőgazdasági termékek eredetmegjelölésére, illetve földrajzi jelzésére vonatkozó fogalommeghatározásnak vagy az (EU) 2024/1143 rendeletben említett követelményeknek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b) </w:t>
      </w:r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 javasolt földrajzi árujelző nem felel meg a borok eredetmegjelölésére, illetve földrajzi jelzésére vonatkozó fogalommeghatározásnak vagy az 1308/2013/EU rendelet II. része II. címe 1. fejezetének 2. szakaszában említett követelményeknek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c) </w:t>
      </w:r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 javasolt földrajzi jelzés nem felel meg a szeszes italok földrajzi jelzésére vonatkozó fogalommeghatározásnak vagy az (EU) 2019/787 rendelet III. fejezetében említett követelményeknek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d) </w:t>
      </w:r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 javasolt földrajzi árujelző bejegyzése ellentétes lenne az (EU) 2024/1143 rendelet 28. cikkével (a bejegyzésre javasolt elnevezés köznevesült elnevezés)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proofErr w:type="gramStart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e</w:t>
      </w:r>
      <w:proofErr w:type="gramEnd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) </w:t>
      </w:r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 javasolt földrajzi árujelző bejegyzése ellentétes lenne az (EU) 2024/1143 rendelet 29. cikkével (teljesen vagy részben azonos alakú elnevezés)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proofErr w:type="gramStart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f</w:t>
      </w:r>
      <w:proofErr w:type="gramEnd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) </w:t>
      </w:r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Az elnevezés bejegyzése ellentétes lenne az (EU) 2024/1143 rendelet 30. cikkével (meglévő védjegy)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proofErr w:type="gramStart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g</w:t>
      </w:r>
      <w:proofErr w:type="gramEnd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) </w:t>
      </w:r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 mezőgazdasági termékek eredetmegjelölései és földrajzi jelzései tekintetében a javasolt földrajzi árujelző bejegyzése ellentétes lenne az (EU) 2024/1143 rendelet 48. cikkének (1) bekezdésével (növény- vagy állatfajta)</w:t>
      </w:r>
    </w:p>
    <w:p w:rsidR="00A47534" w:rsidRPr="00A47534" w:rsidRDefault="00A47534" w:rsidP="00913F83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A47534" w:rsidRPr="00A47534" w:rsidRDefault="00913F83" w:rsidP="00913F8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proofErr w:type="gramStart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h</w:t>
      </w:r>
      <w:proofErr w:type="gramEnd"/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) </w:t>
      </w:r>
      <w:r w:rsidR="00A47534"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 javasolt földrajzi árujelző bejegyzése veszélyeztetné egy vele részben vagy teljesen azonos elnevezés vagy védjegy létét, vagy olyan termékek létét, amelyek az (EU) 2024/1143 rendelet 15. cikkének (4) bekezdésében előírt információk közzétételének időpontját megelőzően már legalább 5 éven keresztül jogszerűen forgalomban voltak</w:t>
      </w:r>
    </w:p>
    <w:p w:rsid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</w:p>
    <w:p w:rsidR="00072ED1" w:rsidRPr="00A47534" w:rsidRDefault="00072ED1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9.    A felszólalás részletezése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…</w:t>
      </w:r>
    </w:p>
    <w:p w:rsidR="00A47534" w:rsidRPr="00A47534" w:rsidRDefault="00A47534" w:rsidP="00072ED1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072ED1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Adja meg a felszólalás megalapozott indokolását, beleértve a felszólalást alátámasztó tények, bizonyítékok és észrevételek részleteit. Igazoló dokumentum is benyújtható.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10.    Az igazoló dokumentumok jegyzéke</w:t>
      </w: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…</w:t>
      </w:r>
    </w:p>
    <w:p w:rsidR="00A47534" w:rsidRPr="00A47534" w:rsidRDefault="00A47534" w:rsidP="00072ED1">
      <w:pPr>
        <w:shd w:val="clear" w:color="auto" w:fill="FFFFFF"/>
        <w:spacing w:before="120" w:after="240" w:line="312" w:lineRule="atLeast"/>
        <w:jc w:val="both"/>
        <w:rPr>
          <w:rFonts w:ascii="Times New Roman" w:eastAsia="Arial Unicode MS" w:hAnsi="Times New Roman" w:cs="Times New Roman"/>
          <w:color w:val="333333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072ED1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Ha nincs ilyen, hagyja üresen.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A47534" w:rsidRPr="00A47534" w:rsidRDefault="00A47534" w:rsidP="00A47534">
      <w:pPr>
        <w:shd w:val="clear" w:color="auto" w:fill="FFFFFF"/>
        <w:spacing w:before="120" w:after="120" w:line="312" w:lineRule="atLeast"/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hu-HU"/>
        </w:rPr>
        <w:t>11.    Hozzájárulás megadása a kérelmezővel folytatandó megfelelő konzultációk lehetővé tétele érdekében</w:t>
      </w:r>
    </w:p>
    <w:p w:rsidR="00E85142" w:rsidRPr="00A47534" w:rsidRDefault="00A47534" w:rsidP="00E85142">
      <w:pPr>
        <w:shd w:val="clear" w:color="auto" w:fill="FFFFFF"/>
        <w:spacing w:before="120" w:after="120" w:line="312" w:lineRule="atLeast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>A felszólaló hozzájárul ahhoz, hogy a Bizottság a felszólalásban esetlegesen szereplő személyes adatokat továbbítsa.</w:t>
      </w:r>
    </w:p>
    <w:p w:rsidR="00A47534" w:rsidRPr="00A47534" w:rsidRDefault="00A47534" w:rsidP="00072ED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sym w:font="Wingdings" w:char="F0A8"/>
      </w:r>
      <w:r w:rsidR="00072ED1">
        <w:rPr>
          <w:rFonts w:ascii="Times New Roman" w:eastAsia="Arial Unicode MS" w:hAnsi="Times New Roman" w:cs="Times New Roman"/>
          <w:color w:val="333333"/>
          <w:sz w:val="24"/>
          <w:szCs w:val="24"/>
          <w:lang w:eastAsia="hu-HU"/>
        </w:rPr>
        <w:t xml:space="preserve">  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[</w:t>
      </w:r>
      <w:r w:rsidRPr="00072ED1">
        <w:rPr>
          <w:rFonts w:ascii="Times New Roman" w:eastAsia="Arial Unicode MS" w:hAnsi="Times New Roman" w:cs="Times New Roman"/>
          <w:i/>
          <w:iCs/>
          <w:color w:val="333333"/>
          <w:lang w:eastAsia="hu-HU"/>
        </w:rPr>
        <w:t>Jelölje be a négyzetet a hozzájárulás megadásához</w:t>
      </w:r>
      <w:r w:rsidRPr="00A47534">
        <w:rPr>
          <w:rFonts w:ascii="Times New Roman" w:eastAsia="Arial Unicode MS" w:hAnsi="Times New Roman" w:cs="Times New Roman"/>
          <w:color w:val="333333"/>
          <w:lang w:eastAsia="hu-HU"/>
        </w:rPr>
        <w:t>]</w:t>
      </w:r>
    </w:p>
    <w:p w:rsidR="00072ED1" w:rsidRDefault="00072ED1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i/>
          <w:color w:val="333333"/>
          <w:sz w:val="24"/>
          <w:szCs w:val="24"/>
          <w:lang w:eastAsia="hu-HU"/>
        </w:rPr>
      </w:pPr>
    </w:p>
    <w:p w:rsidR="00A47534" w:rsidRPr="00A47534" w:rsidRDefault="00A47534" w:rsidP="00A47534">
      <w:pPr>
        <w:shd w:val="clear" w:color="auto" w:fill="FFFFFF"/>
        <w:spacing w:before="120" w:after="0" w:line="312" w:lineRule="atLeast"/>
        <w:jc w:val="both"/>
        <w:rPr>
          <w:rFonts w:ascii="Times New Roman" w:eastAsia="Arial Unicode MS" w:hAnsi="Times New Roman" w:cs="Times New Roman"/>
          <w:i/>
          <w:color w:val="333333"/>
          <w:sz w:val="24"/>
          <w:szCs w:val="24"/>
          <w:lang w:eastAsia="hu-HU"/>
        </w:rPr>
      </w:pPr>
      <w:r w:rsidRPr="00A47534">
        <w:rPr>
          <w:rFonts w:ascii="Times New Roman" w:eastAsia="Arial Unicode MS" w:hAnsi="Times New Roman" w:cs="Times New Roman"/>
          <w:i/>
          <w:color w:val="333333"/>
          <w:sz w:val="24"/>
          <w:szCs w:val="24"/>
          <w:lang w:eastAsia="hu-HU"/>
        </w:rPr>
        <w:t>A felszólalást alá kell írni és keltezéssel kell ellátni.</w:t>
      </w:r>
      <w:bookmarkStart w:id="0" w:name="_GoBack"/>
      <w:bookmarkEnd w:id="0"/>
    </w:p>
    <w:sectPr w:rsidR="00A47534" w:rsidRPr="00A47534" w:rsidSect="00913F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34"/>
    <w:rsid w:val="00072ED1"/>
    <w:rsid w:val="00722A1A"/>
    <w:rsid w:val="00913F83"/>
    <w:rsid w:val="00A47534"/>
    <w:rsid w:val="00D316E0"/>
    <w:rsid w:val="00E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A112-42AE-4772-979B-0D64A95F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-annex-2">
    <w:name w:val="title-annex-2"/>
    <w:basedOn w:val="Norml"/>
    <w:rsid w:val="00A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ldface">
    <w:name w:val="boldface"/>
    <w:basedOn w:val="Bekezdsalapbettpusa"/>
    <w:rsid w:val="00A47534"/>
  </w:style>
  <w:style w:type="paragraph" w:customStyle="1" w:styleId="norm">
    <w:name w:val="norm"/>
    <w:basedOn w:val="Norml"/>
    <w:rsid w:val="00A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tle-gr-seq-level-1">
    <w:name w:val="title-gr-seq-level-1"/>
    <w:basedOn w:val="Norml"/>
    <w:rsid w:val="00A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talics">
    <w:name w:val="italics"/>
    <w:basedOn w:val="Bekezdsalapbettpusa"/>
    <w:rsid w:val="00A47534"/>
  </w:style>
  <w:style w:type="paragraph" w:styleId="NormlWeb">
    <w:name w:val="Normal (Web)"/>
    <w:basedOn w:val="Norml"/>
    <w:uiPriority w:val="99"/>
    <w:semiHidden/>
    <w:unhideWhenUsed/>
    <w:rsid w:val="00A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bl-norm">
    <w:name w:val="tbl-norm"/>
    <w:basedOn w:val="Norml"/>
    <w:rsid w:val="00A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">
    <w:name w:val="list"/>
    <w:basedOn w:val="Norml"/>
    <w:rsid w:val="00A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4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3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19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6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0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5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8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5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Kelemen-Zobor Enikő</dc:creator>
  <cp:keywords/>
  <dc:description/>
  <cp:lastModifiedBy>Kelemen-Zobor Enikő</cp:lastModifiedBy>
  <cp:revision>4</cp:revision>
  <dcterms:created xsi:type="dcterms:W3CDTF">2025-07-21T08:36:00Z</dcterms:created>
  <dcterms:modified xsi:type="dcterms:W3CDTF">2025-07-21T09:00:00Z</dcterms:modified>
</cp:coreProperties>
</file>